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1686" w:tblpY="45"/>
        <w:tblW w:w="9050" w:type="dxa"/>
        <w:tblLook w:val="04A0" w:firstRow="1" w:lastRow="0" w:firstColumn="1" w:lastColumn="0" w:noHBand="0" w:noVBand="1"/>
      </w:tblPr>
      <w:tblGrid>
        <w:gridCol w:w="1129"/>
        <w:gridCol w:w="3396"/>
        <w:gridCol w:w="999"/>
        <w:gridCol w:w="3526"/>
      </w:tblGrid>
      <w:tr w:rsidR="00E7498B" w:rsidRPr="005157B0" w14:paraId="6D9D1E69" w14:textId="77777777" w:rsidTr="00E7498B">
        <w:trPr>
          <w:trHeight w:val="528"/>
        </w:trPr>
        <w:tc>
          <w:tcPr>
            <w:tcW w:w="1129" w:type="dxa"/>
          </w:tcPr>
          <w:p w14:paraId="3D9C6291" w14:textId="77777777" w:rsidR="00DF508A" w:rsidRPr="005157B0" w:rsidRDefault="00DF508A" w:rsidP="00E7498B">
            <w:pPr>
              <w:rPr>
                <w:rFonts w:eastAsiaTheme="minorEastAsia"/>
                <w:sz w:val="20"/>
                <w:szCs w:val="20"/>
              </w:rPr>
            </w:pPr>
            <w:r>
              <w:rPr>
                <w:rFonts w:eastAsiaTheme="minorEastAsia"/>
                <w:sz w:val="20"/>
                <w:szCs w:val="20"/>
              </w:rPr>
              <w:t>Name</w:t>
            </w:r>
          </w:p>
        </w:tc>
        <w:tc>
          <w:tcPr>
            <w:tcW w:w="3396" w:type="dxa"/>
          </w:tcPr>
          <w:p w14:paraId="337E2D3E" w14:textId="77777777" w:rsidR="00DF508A" w:rsidRDefault="00DF508A" w:rsidP="00E7498B">
            <w:pPr>
              <w:rPr>
                <w:rFonts w:eastAsiaTheme="minorEastAsia"/>
                <w:sz w:val="20"/>
                <w:szCs w:val="20"/>
              </w:rPr>
            </w:pPr>
          </w:p>
          <w:p w14:paraId="0A9A71D4" w14:textId="77777777" w:rsidR="00DF508A" w:rsidRDefault="00DF508A" w:rsidP="00E7498B">
            <w:pPr>
              <w:rPr>
                <w:rFonts w:eastAsiaTheme="minorEastAsia"/>
                <w:sz w:val="20"/>
                <w:szCs w:val="20"/>
              </w:rPr>
            </w:pPr>
          </w:p>
          <w:p w14:paraId="2C8351BD" w14:textId="77777777" w:rsidR="00E7498B" w:rsidRDefault="00E7498B" w:rsidP="00E7498B">
            <w:pPr>
              <w:rPr>
                <w:rFonts w:eastAsiaTheme="minorEastAsia"/>
                <w:sz w:val="20"/>
                <w:szCs w:val="20"/>
              </w:rPr>
            </w:pPr>
          </w:p>
          <w:p w14:paraId="671D9C5B" w14:textId="77777777" w:rsidR="00E7498B" w:rsidRDefault="00E7498B" w:rsidP="00E7498B">
            <w:pPr>
              <w:rPr>
                <w:rFonts w:eastAsiaTheme="minorEastAsia"/>
                <w:sz w:val="20"/>
                <w:szCs w:val="20"/>
              </w:rPr>
            </w:pPr>
          </w:p>
          <w:p w14:paraId="3BC7F06F" w14:textId="77777777" w:rsidR="00DF508A" w:rsidRDefault="00DF508A" w:rsidP="00E7498B">
            <w:pPr>
              <w:rPr>
                <w:rFonts w:eastAsiaTheme="minorEastAsia"/>
                <w:sz w:val="20"/>
                <w:szCs w:val="20"/>
              </w:rPr>
            </w:pPr>
          </w:p>
          <w:p w14:paraId="620D7E5F" w14:textId="77777777" w:rsidR="00E7498B" w:rsidRPr="005157B0" w:rsidRDefault="00E7498B" w:rsidP="00E7498B">
            <w:pPr>
              <w:rPr>
                <w:rFonts w:eastAsiaTheme="minorEastAsia"/>
                <w:sz w:val="20"/>
                <w:szCs w:val="20"/>
              </w:rPr>
            </w:pPr>
          </w:p>
        </w:tc>
        <w:tc>
          <w:tcPr>
            <w:tcW w:w="999" w:type="dxa"/>
          </w:tcPr>
          <w:p w14:paraId="3AB5F0BB" w14:textId="77777777" w:rsidR="00DF508A" w:rsidRPr="005157B0" w:rsidRDefault="00DF508A" w:rsidP="00E7498B">
            <w:pPr>
              <w:rPr>
                <w:rFonts w:eastAsiaTheme="minorEastAsia"/>
                <w:sz w:val="20"/>
                <w:szCs w:val="20"/>
              </w:rPr>
            </w:pPr>
            <w:r>
              <w:rPr>
                <w:rFonts w:eastAsiaTheme="minorEastAsia"/>
                <w:sz w:val="20"/>
                <w:szCs w:val="20"/>
              </w:rPr>
              <w:t>Date</w:t>
            </w:r>
          </w:p>
        </w:tc>
        <w:tc>
          <w:tcPr>
            <w:tcW w:w="3526" w:type="dxa"/>
          </w:tcPr>
          <w:p w14:paraId="70E11730" w14:textId="77777777" w:rsidR="00DF508A" w:rsidRDefault="00DF508A" w:rsidP="00E7498B">
            <w:pPr>
              <w:rPr>
                <w:rFonts w:eastAsiaTheme="minorEastAsia"/>
                <w:sz w:val="20"/>
                <w:szCs w:val="20"/>
              </w:rPr>
            </w:pPr>
          </w:p>
          <w:p w14:paraId="064383CD" w14:textId="77777777" w:rsidR="00DF508A" w:rsidRDefault="00DF508A" w:rsidP="00E7498B">
            <w:pPr>
              <w:rPr>
                <w:rFonts w:eastAsiaTheme="minorEastAsia"/>
                <w:sz w:val="20"/>
                <w:szCs w:val="20"/>
              </w:rPr>
            </w:pPr>
          </w:p>
          <w:p w14:paraId="67241095" w14:textId="77777777" w:rsidR="00DF508A" w:rsidRPr="005157B0" w:rsidRDefault="00DF508A" w:rsidP="00E7498B">
            <w:pPr>
              <w:rPr>
                <w:rFonts w:eastAsiaTheme="minorEastAsia"/>
                <w:sz w:val="20"/>
                <w:szCs w:val="20"/>
              </w:rPr>
            </w:pPr>
          </w:p>
        </w:tc>
      </w:tr>
    </w:tbl>
    <w:p w14:paraId="4D2B7754" w14:textId="77777777" w:rsidR="00E7498B" w:rsidRDefault="00E7498B" w:rsidP="00E7498B">
      <w:pPr>
        <w:pStyle w:val="NoSpacing"/>
      </w:pPr>
      <w:r w:rsidRPr="00E7498B">
        <w:rPr>
          <w:noProof/>
        </w:rPr>
        <w:drawing>
          <wp:inline distT="0" distB="0" distL="0" distR="0" wp14:anchorId="4F81774D" wp14:editId="418D6968">
            <wp:extent cx="927100" cy="927100"/>
            <wp:effectExtent l="0" t="0" r="6350" b="6350"/>
            <wp:docPr id="11" name="Content Placeholder 10">
              <a:extLst xmlns:a="http://schemas.openxmlformats.org/drawingml/2006/main">
                <a:ext uri="{FF2B5EF4-FFF2-40B4-BE49-F238E27FC236}">
                  <a16:creationId xmlns:a16="http://schemas.microsoft.com/office/drawing/2014/main" id="{723D3965-9766-271B-979E-37DA8B6FF30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a:extLst>
                        <a:ext uri="{FF2B5EF4-FFF2-40B4-BE49-F238E27FC236}">
                          <a16:creationId xmlns:a16="http://schemas.microsoft.com/office/drawing/2014/main" id="{723D3965-9766-271B-979E-37DA8B6FF305}"/>
                        </a:ext>
                      </a:extLst>
                    </pic:cNvPr>
                    <pic:cNvPicPr>
                      <a:picLocks noGrp="1" noChangeAspect="1"/>
                    </pic:cNvPicPr>
                  </pic:nvPicPr>
                  <pic:blipFill>
                    <a:blip r:embed="rId7"/>
                    <a:stretch>
                      <a:fillRect/>
                    </a:stretch>
                  </pic:blipFill>
                  <pic:spPr>
                    <a:xfrm>
                      <a:off x="0" y="0"/>
                      <a:ext cx="927353" cy="927353"/>
                    </a:xfrm>
                    <a:prstGeom prst="rect">
                      <a:avLst/>
                    </a:prstGeom>
                  </pic:spPr>
                </pic:pic>
              </a:graphicData>
            </a:graphic>
          </wp:inline>
        </w:drawing>
      </w:r>
    </w:p>
    <w:p w14:paraId="312D1125" w14:textId="77777777" w:rsidR="00E7498B" w:rsidRDefault="00E7498B" w:rsidP="00E7498B">
      <w:pPr>
        <w:pStyle w:val="NoSpacing"/>
      </w:pPr>
    </w:p>
    <w:p w14:paraId="6026D9A6" w14:textId="6B5B7C48" w:rsidR="00E7498B" w:rsidRPr="00E7498B" w:rsidRDefault="00E7498B" w:rsidP="00E7498B">
      <w:pPr>
        <w:pStyle w:val="NoSpacing"/>
        <w:rPr>
          <w:b/>
          <w:bCs/>
        </w:rPr>
      </w:pPr>
      <w:r w:rsidRPr="00E7498B">
        <w:rPr>
          <w:b/>
          <w:bCs/>
        </w:rPr>
        <w:t>KEY/CODE ACCESS and RECIEPT OF KEYS</w:t>
      </w:r>
    </w:p>
    <w:p w14:paraId="6E7FA4B3" w14:textId="77777777" w:rsidR="00DF508A" w:rsidRDefault="00DF508A" w:rsidP="00DF508A">
      <w:pPr>
        <w:pStyle w:val="NoSpacing"/>
        <w:rPr>
          <w:sz w:val="20"/>
          <w:szCs w:val="20"/>
        </w:rPr>
      </w:pPr>
    </w:p>
    <w:p w14:paraId="4C602529" w14:textId="26F70B77" w:rsidR="008A1B4A" w:rsidRDefault="0BBAE937" w:rsidP="3D7BF7A6">
      <w:pPr>
        <w:rPr>
          <w:sz w:val="20"/>
          <w:szCs w:val="20"/>
        </w:rPr>
      </w:pPr>
      <w:r w:rsidRPr="3D7BF7A6">
        <w:rPr>
          <w:sz w:val="20"/>
          <w:szCs w:val="20"/>
        </w:rPr>
        <w:t>EEE aims to provide a safe working environment for all staff and users, this includes both safety of the individuals using the EEE buildings</w:t>
      </w:r>
      <w:r w:rsidR="3495BF79" w:rsidRPr="3D7BF7A6">
        <w:rPr>
          <w:sz w:val="20"/>
          <w:szCs w:val="20"/>
        </w:rPr>
        <w:t>/a</w:t>
      </w:r>
      <w:r w:rsidRPr="3D7BF7A6">
        <w:rPr>
          <w:sz w:val="20"/>
          <w:szCs w:val="20"/>
        </w:rPr>
        <w:t xml:space="preserve">reas as well as ensuring the building and equipment is </w:t>
      </w:r>
      <w:r w:rsidR="7021CB27" w:rsidRPr="3D7BF7A6">
        <w:rPr>
          <w:sz w:val="20"/>
          <w:szCs w:val="20"/>
        </w:rPr>
        <w:t>secure</w:t>
      </w:r>
      <w:r w:rsidRPr="3D7BF7A6">
        <w:rPr>
          <w:sz w:val="20"/>
          <w:szCs w:val="20"/>
        </w:rPr>
        <w:t xml:space="preserve">. </w:t>
      </w:r>
      <w:r w:rsidR="4F7CE244" w:rsidRPr="3D7BF7A6">
        <w:rPr>
          <w:sz w:val="20"/>
          <w:szCs w:val="20"/>
        </w:rPr>
        <w:t xml:space="preserve">This policy covers all EEE areas across Roberts building and Malet Place Engineering Building. </w:t>
      </w:r>
    </w:p>
    <w:p w14:paraId="5CE11B64" w14:textId="47E3CC6F" w:rsidR="00573686" w:rsidRDefault="036F73E2" w:rsidP="3D7BF7A6">
      <w:pPr>
        <w:spacing w:after="0"/>
        <w:rPr>
          <w:sz w:val="20"/>
          <w:szCs w:val="20"/>
        </w:rPr>
      </w:pPr>
      <w:r w:rsidRPr="3D7BF7A6">
        <w:rPr>
          <w:sz w:val="20"/>
          <w:szCs w:val="20"/>
        </w:rPr>
        <w:t>Collection of Keys</w:t>
      </w:r>
    </w:p>
    <w:p w14:paraId="70CE8B4E" w14:textId="567BA1A5" w:rsidR="00573686" w:rsidRDefault="08264AEC" w:rsidP="3D7BF7A6">
      <w:pPr>
        <w:pStyle w:val="ListParagraph"/>
        <w:numPr>
          <w:ilvl w:val="0"/>
          <w:numId w:val="1"/>
        </w:numPr>
        <w:spacing w:after="0"/>
        <w:rPr>
          <w:rFonts w:eastAsiaTheme="minorEastAsia"/>
          <w:sz w:val="20"/>
          <w:szCs w:val="20"/>
        </w:rPr>
      </w:pPr>
      <w:r w:rsidRPr="3D7BF7A6">
        <w:rPr>
          <w:sz w:val="20"/>
          <w:szCs w:val="20"/>
        </w:rPr>
        <w:t xml:space="preserve">Keys to offices will be allocated </w:t>
      </w:r>
      <w:r w:rsidR="004C23A7">
        <w:rPr>
          <w:sz w:val="20"/>
          <w:szCs w:val="20"/>
        </w:rPr>
        <w:t xml:space="preserve">at induction or </w:t>
      </w:r>
      <w:r w:rsidRPr="3D7BF7A6">
        <w:rPr>
          <w:sz w:val="20"/>
          <w:szCs w:val="20"/>
        </w:rPr>
        <w:t>on arrival from the IT Support Team</w:t>
      </w:r>
      <w:r w:rsidR="004C23A7">
        <w:rPr>
          <w:sz w:val="20"/>
          <w:szCs w:val="20"/>
        </w:rPr>
        <w:t xml:space="preserve">, </w:t>
      </w:r>
      <w:r w:rsidRPr="3D7BF7A6">
        <w:rPr>
          <w:sz w:val="20"/>
          <w:szCs w:val="20"/>
        </w:rPr>
        <w:t>Room 604 Roberts Building</w:t>
      </w:r>
    </w:p>
    <w:p w14:paraId="550DCE01" w14:textId="22D19A25" w:rsidR="00573686" w:rsidRDefault="08264AEC" w:rsidP="3D7BF7A6">
      <w:pPr>
        <w:pStyle w:val="ListParagraph"/>
        <w:numPr>
          <w:ilvl w:val="0"/>
          <w:numId w:val="1"/>
        </w:numPr>
        <w:spacing w:after="0"/>
        <w:rPr>
          <w:sz w:val="20"/>
          <w:szCs w:val="20"/>
        </w:rPr>
      </w:pPr>
      <w:r w:rsidRPr="3D7BF7A6">
        <w:rPr>
          <w:b/>
          <w:bCs/>
          <w:sz w:val="20"/>
          <w:szCs w:val="20"/>
        </w:rPr>
        <w:t xml:space="preserve">Keys £20 cash </w:t>
      </w:r>
      <w:r w:rsidR="004C23A7">
        <w:rPr>
          <w:b/>
          <w:bCs/>
          <w:sz w:val="20"/>
          <w:szCs w:val="20"/>
        </w:rPr>
        <w:t xml:space="preserve">deposit </w:t>
      </w:r>
      <w:r w:rsidRPr="3D7BF7A6">
        <w:rPr>
          <w:b/>
          <w:bCs/>
          <w:sz w:val="20"/>
          <w:szCs w:val="20"/>
        </w:rPr>
        <w:t xml:space="preserve">at the time of collection. </w:t>
      </w:r>
    </w:p>
    <w:p w14:paraId="31A26544" w14:textId="66049D02" w:rsidR="00573686" w:rsidRDefault="08264AEC" w:rsidP="3D7BF7A6">
      <w:pPr>
        <w:pStyle w:val="ListParagraph"/>
        <w:numPr>
          <w:ilvl w:val="0"/>
          <w:numId w:val="1"/>
        </w:numPr>
        <w:spacing w:after="0"/>
        <w:rPr>
          <w:sz w:val="20"/>
          <w:szCs w:val="20"/>
        </w:rPr>
      </w:pPr>
      <w:r w:rsidRPr="3D7BF7A6">
        <w:rPr>
          <w:sz w:val="20"/>
          <w:szCs w:val="20"/>
        </w:rPr>
        <w:t xml:space="preserve">Please note access to higher risk areas may need </w:t>
      </w:r>
      <w:r w:rsidR="478F887B" w:rsidRPr="3D7BF7A6">
        <w:rPr>
          <w:sz w:val="20"/>
          <w:szCs w:val="20"/>
        </w:rPr>
        <w:t>additional</w:t>
      </w:r>
      <w:r w:rsidRPr="3D7BF7A6">
        <w:rPr>
          <w:sz w:val="20"/>
          <w:szCs w:val="20"/>
        </w:rPr>
        <w:t xml:space="preserve"> activities to be carried out before </w:t>
      </w:r>
      <w:r w:rsidR="00932AD6">
        <w:rPr>
          <w:sz w:val="20"/>
          <w:szCs w:val="20"/>
        </w:rPr>
        <w:t xml:space="preserve">keys are issued. </w:t>
      </w:r>
      <w:r w:rsidRPr="3D7BF7A6">
        <w:rPr>
          <w:sz w:val="20"/>
          <w:szCs w:val="20"/>
        </w:rPr>
        <w:t>This may include, but is not limited to, a risk assessment, local lab inductions, equipment training</w:t>
      </w:r>
      <w:r w:rsidR="37B58583" w:rsidRPr="3D7BF7A6">
        <w:rPr>
          <w:sz w:val="20"/>
          <w:szCs w:val="20"/>
        </w:rPr>
        <w:t xml:space="preserve">, supervisor </w:t>
      </w:r>
      <w:r w:rsidRPr="3D7BF7A6">
        <w:rPr>
          <w:sz w:val="20"/>
          <w:szCs w:val="20"/>
        </w:rPr>
        <w:t xml:space="preserve">sign-off. </w:t>
      </w:r>
    </w:p>
    <w:p w14:paraId="66B2ACBE" w14:textId="6C30245B" w:rsidR="00C00FE6" w:rsidRDefault="24A1208C" w:rsidP="3D7BF7A6">
      <w:pPr>
        <w:spacing w:after="0"/>
        <w:rPr>
          <w:sz w:val="20"/>
          <w:szCs w:val="20"/>
        </w:rPr>
      </w:pPr>
      <w:r w:rsidRPr="3D7BF7A6">
        <w:rPr>
          <w:sz w:val="20"/>
          <w:szCs w:val="20"/>
        </w:rPr>
        <w:t>Responsibilities of</w:t>
      </w:r>
      <w:r w:rsidR="45595B4D" w:rsidRPr="3D7BF7A6">
        <w:rPr>
          <w:sz w:val="20"/>
          <w:szCs w:val="20"/>
        </w:rPr>
        <w:t xml:space="preserve"> EEE Key Issuer</w:t>
      </w:r>
    </w:p>
    <w:p w14:paraId="2534DEDD" w14:textId="564B47F4" w:rsidR="000D1EFD" w:rsidRDefault="08264AEC" w:rsidP="3D7BF7A6">
      <w:pPr>
        <w:pStyle w:val="ListParagraph"/>
        <w:numPr>
          <w:ilvl w:val="0"/>
          <w:numId w:val="3"/>
        </w:numPr>
        <w:spacing w:after="0"/>
        <w:rPr>
          <w:sz w:val="20"/>
          <w:szCs w:val="20"/>
        </w:rPr>
      </w:pPr>
      <w:r w:rsidRPr="3D7BF7A6">
        <w:rPr>
          <w:sz w:val="20"/>
          <w:szCs w:val="20"/>
        </w:rPr>
        <w:t>A register of all keys issued and to whom is to be kept within the department</w:t>
      </w:r>
    </w:p>
    <w:p w14:paraId="1831819F" w14:textId="211442F8" w:rsidR="00C00FE6" w:rsidRDefault="24A1208C" w:rsidP="3D7BF7A6">
      <w:pPr>
        <w:pStyle w:val="ListParagraph"/>
        <w:numPr>
          <w:ilvl w:val="0"/>
          <w:numId w:val="3"/>
        </w:numPr>
        <w:spacing w:after="0"/>
        <w:rPr>
          <w:sz w:val="20"/>
          <w:szCs w:val="20"/>
        </w:rPr>
      </w:pPr>
      <w:r w:rsidRPr="3D7BF7A6">
        <w:rPr>
          <w:sz w:val="20"/>
          <w:szCs w:val="20"/>
        </w:rPr>
        <w:t>Must investigate all key issues when notified</w:t>
      </w:r>
    </w:p>
    <w:p w14:paraId="2159EA14" w14:textId="257A94C9" w:rsidR="00C00FE6" w:rsidRDefault="0114C25A" w:rsidP="3D7BF7A6">
      <w:pPr>
        <w:pStyle w:val="ListParagraph"/>
        <w:numPr>
          <w:ilvl w:val="0"/>
          <w:numId w:val="3"/>
        </w:numPr>
        <w:spacing w:after="0"/>
        <w:rPr>
          <w:sz w:val="20"/>
          <w:szCs w:val="20"/>
        </w:rPr>
      </w:pPr>
      <w:r w:rsidRPr="3D7BF7A6">
        <w:rPr>
          <w:sz w:val="20"/>
          <w:szCs w:val="20"/>
        </w:rPr>
        <w:t>Ensure</w:t>
      </w:r>
      <w:r w:rsidR="24A1208C" w:rsidRPr="3D7BF7A6">
        <w:rPr>
          <w:sz w:val="20"/>
          <w:szCs w:val="20"/>
        </w:rPr>
        <w:t xml:space="preserve"> £20 deposits </w:t>
      </w:r>
      <w:r w:rsidR="69688A2F" w:rsidRPr="3D7BF7A6">
        <w:rPr>
          <w:sz w:val="20"/>
          <w:szCs w:val="20"/>
        </w:rPr>
        <w:t xml:space="preserve">are </w:t>
      </w:r>
      <w:r w:rsidR="24A1208C" w:rsidRPr="3D7BF7A6">
        <w:rPr>
          <w:sz w:val="20"/>
          <w:szCs w:val="20"/>
        </w:rPr>
        <w:t xml:space="preserve">returned promptly on </w:t>
      </w:r>
      <w:r w:rsidR="00732B83">
        <w:rPr>
          <w:sz w:val="20"/>
          <w:szCs w:val="20"/>
        </w:rPr>
        <w:t>return of ALL keys issued</w:t>
      </w:r>
    </w:p>
    <w:p w14:paraId="77C779F9" w14:textId="34D0164C" w:rsidR="00C00FE6" w:rsidRDefault="24A1208C" w:rsidP="3D7BF7A6">
      <w:pPr>
        <w:spacing w:after="0"/>
        <w:rPr>
          <w:sz w:val="20"/>
          <w:szCs w:val="20"/>
        </w:rPr>
      </w:pPr>
      <w:r w:rsidRPr="3D7BF7A6">
        <w:rPr>
          <w:sz w:val="20"/>
          <w:szCs w:val="20"/>
        </w:rPr>
        <w:t>Responsibilities of keyholder</w:t>
      </w:r>
    </w:p>
    <w:p w14:paraId="272273AF" w14:textId="3347DFF6" w:rsidR="00C00FE6" w:rsidRDefault="53D5B8B9" w:rsidP="3D7BF7A6">
      <w:pPr>
        <w:pStyle w:val="ListParagraph"/>
        <w:numPr>
          <w:ilvl w:val="0"/>
          <w:numId w:val="3"/>
        </w:numPr>
        <w:spacing w:after="0"/>
        <w:rPr>
          <w:sz w:val="20"/>
          <w:szCs w:val="20"/>
        </w:rPr>
      </w:pPr>
      <w:r w:rsidRPr="3D7BF7A6">
        <w:rPr>
          <w:sz w:val="20"/>
          <w:szCs w:val="20"/>
        </w:rPr>
        <w:t>Keep the issued key/s safe</w:t>
      </w:r>
      <w:r w:rsidR="0721ADA6" w:rsidRPr="3D7BF7A6">
        <w:rPr>
          <w:sz w:val="20"/>
          <w:szCs w:val="20"/>
        </w:rPr>
        <w:t>, l</w:t>
      </w:r>
      <w:r w:rsidR="24A1208C" w:rsidRPr="3D7BF7A6">
        <w:rPr>
          <w:sz w:val="20"/>
          <w:szCs w:val="20"/>
        </w:rPr>
        <w:t>oss or theft of keys</w:t>
      </w:r>
      <w:r w:rsidR="008C0C19">
        <w:rPr>
          <w:sz w:val="20"/>
          <w:szCs w:val="20"/>
        </w:rPr>
        <w:t xml:space="preserve"> pr damage to locks are</w:t>
      </w:r>
      <w:r w:rsidR="24A1208C" w:rsidRPr="3D7BF7A6">
        <w:rPr>
          <w:sz w:val="20"/>
          <w:szCs w:val="20"/>
        </w:rPr>
        <w:t xml:space="preserve"> to be reported as soon as possible to </w:t>
      </w:r>
      <w:hyperlink r:id="rId8">
        <w:r w:rsidR="24A1208C" w:rsidRPr="3D7BF7A6">
          <w:rPr>
            <w:rStyle w:val="Hyperlink"/>
            <w:sz w:val="20"/>
            <w:szCs w:val="20"/>
          </w:rPr>
          <w:t>defects@ee.ac.uk</w:t>
        </w:r>
      </w:hyperlink>
      <w:r w:rsidR="24A1208C" w:rsidRPr="3D7BF7A6">
        <w:rPr>
          <w:sz w:val="20"/>
          <w:szCs w:val="20"/>
        </w:rPr>
        <w:t xml:space="preserve"> and </w:t>
      </w:r>
      <w:hyperlink r:id="rId9">
        <w:r w:rsidR="24A1208C" w:rsidRPr="3D7BF7A6">
          <w:rPr>
            <w:rStyle w:val="Hyperlink"/>
            <w:sz w:val="20"/>
            <w:szCs w:val="20"/>
          </w:rPr>
          <w:t>support@ee.ac.uk</w:t>
        </w:r>
      </w:hyperlink>
      <w:r w:rsidR="24A1208C" w:rsidRPr="3D7BF7A6">
        <w:rPr>
          <w:sz w:val="20"/>
          <w:szCs w:val="20"/>
        </w:rPr>
        <w:t>, replacement keys may be at a cost to the keyholder</w:t>
      </w:r>
    </w:p>
    <w:p w14:paraId="3D4501CB" w14:textId="2339BEFD" w:rsidR="008A1B4A" w:rsidRPr="008C0C19" w:rsidRDefault="24A1208C" w:rsidP="008C0C19">
      <w:pPr>
        <w:pStyle w:val="ListParagraph"/>
        <w:numPr>
          <w:ilvl w:val="0"/>
          <w:numId w:val="3"/>
        </w:numPr>
        <w:spacing w:after="0"/>
        <w:rPr>
          <w:sz w:val="20"/>
          <w:szCs w:val="20"/>
        </w:rPr>
      </w:pPr>
      <w:r w:rsidRPr="3D7BF7A6">
        <w:rPr>
          <w:sz w:val="20"/>
          <w:szCs w:val="20"/>
        </w:rPr>
        <w:t>Keys</w:t>
      </w:r>
      <w:r w:rsidR="4F7CE244" w:rsidRPr="3D7BF7A6">
        <w:rPr>
          <w:sz w:val="20"/>
          <w:szCs w:val="20"/>
        </w:rPr>
        <w:t>/codes</w:t>
      </w:r>
      <w:r w:rsidRPr="3D7BF7A6">
        <w:rPr>
          <w:sz w:val="20"/>
          <w:szCs w:val="20"/>
        </w:rPr>
        <w:t xml:space="preserve"> are not to be shared between individuals, even if in the same group or team. Keys are issued to individuals only</w:t>
      </w:r>
      <w:r w:rsidR="4F7CE244" w:rsidRPr="3D7BF7A6">
        <w:rPr>
          <w:sz w:val="20"/>
          <w:szCs w:val="20"/>
        </w:rPr>
        <w:t xml:space="preserve"> and therefore </w:t>
      </w:r>
      <w:r w:rsidR="4F7CE244" w:rsidRPr="3D7BF7A6">
        <w:rPr>
          <w:b/>
          <w:bCs/>
          <w:sz w:val="20"/>
          <w:szCs w:val="20"/>
        </w:rPr>
        <w:t xml:space="preserve">keyholders should not lend out keys or allow access with their key/code. </w:t>
      </w:r>
    </w:p>
    <w:p w14:paraId="6B0548B9" w14:textId="5F6305A4" w:rsidR="7E9CF9FB" w:rsidRDefault="6464C015" w:rsidP="3D7BF7A6">
      <w:pPr>
        <w:spacing w:after="0"/>
        <w:rPr>
          <w:sz w:val="20"/>
          <w:szCs w:val="20"/>
        </w:rPr>
      </w:pPr>
      <w:r w:rsidRPr="3D7BF7A6">
        <w:rPr>
          <w:sz w:val="20"/>
          <w:szCs w:val="20"/>
        </w:rPr>
        <w:t>EEE may need to recall/reissue keys or change code locks to ensure the security and safety of the department, if this is the case, please respond quickly to any requests from EEE to ensure the buildings and area is not compromised.</w:t>
      </w:r>
    </w:p>
    <w:p w14:paraId="2C34D0CF" w14:textId="4F7EDFEA" w:rsidR="3D7BF7A6" w:rsidRDefault="3D7BF7A6" w:rsidP="3D7BF7A6">
      <w:pPr>
        <w:spacing w:after="0"/>
        <w:rPr>
          <w:color w:val="FF0000"/>
          <w:sz w:val="20"/>
          <w:szCs w:val="20"/>
        </w:rPr>
      </w:pPr>
    </w:p>
    <w:p w14:paraId="10AFED5C" w14:textId="25731162" w:rsidR="008C0C19" w:rsidRPr="00CC22CE" w:rsidRDefault="008C0C19" w:rsidP="3D7BF7A6">
      <w:pPr>
        <w:spacing w:after="0"/>
        <w:rPr>
          <w:sz w:val="20"/>
          <w:szCs w:val="20"/>
        </w:rPr>
      </w:pPr>
      <w:r w:rsidRPr="00CC22CE">
        <w:rPr>
          <w:sz w:val="20"/>
          <w:szCs w:val="20"/>
        </w:rPr>
        <w:t xml:space="preserve">Upon leaving UCL </w:t>
      </w:r>
      <w:r w:rsidR="0021643B" w:rsidRPr="0021643B">
        <w:rPr>
          <w:b/>
          <w:bCs/>
          <w:sz w:val="20"/>
          <w:szCs w:val="20"/>
          <w:u w:val="single"/>
        </w:rPr>
        <w:t>ALL</w:t>
      </w:r>
      <w:r w:rsidR="0021643B" w:rsidRPr="0021643B">
        <w:rPr>
          <w:sz w:val="20"/>
          <w:szCs w:val="20"/>
        </w:rPr>
        <w:t xml:space="preserve"> </w:t>
      </w:r>
      <w:r w:rsidRPr="0021643B">
        <w:rPr>
          <w:sz w:val="20"/>
          <w:szCs w:val="20"/>
        </w:rPr>
        <w:t>K</w:t>
      </w:r>
      <w:r w:rsidRPr="00CC22CE">
        <w:rPr>
          <w:sz w:val="20"/>
          <w:szCs w:val="20"/>
        </w:rPr>
        <w:t>eys</w:t>
      </w:r>
      <w:r w:rsidR="00896BDD" w:rsidRPr="00CC22CE">
        <w:rPr>
          <w:sz w:val="20"/>
          <w:szCs w:val="20"/>
        </w:rPr>
        <w:t xml:space="preserve"> and IT equipment must be returned to the IT team. </w:t>
      </w:r>
    </w:p>
    <w:p w14:paraId="3A3FC248" w14:textId="16281BF1" w:rsidR="008E4313" w:rsidRPr="00CC22CE" w:rsidRDefault="008E4313" w:rsidP="3D7BF7A6">
      <w:pPr>
        <w:spacing w:after="0"/>
        <w:rPr>
          <w:sz w:val="20"/>
          <w:szCs w:val="20"/>
        </w:rPr>
      </w:pPr>
      <w:r w:rsidRPr="00CC22CE">
        <w:rPr>
          <w:sz w:val="20"/>
          <w:szCs w:val="20"/>
        </w:rPr>
        <w:t>Desks must be cleaned completely on your last day</w:t>
      </w:r>
      <w:r w:rsidR="006C22D1" w:rsidRPr="00CC22CE">
        <w:rPr>
          <w:sz w:val="20"/>
          <w:szCs w:val="20"/>
        </w:rPr>
        <w:t xml:space="preserve">, UCL reserves the right to </w:t>
      </w:r>
      <w:r w:rsidR="00CC22CE" w:rsidRPr="00CC22CE">
        <w:rPr>
          <w:sz w:val="20"/>
          <w:szCs w:val="20"/>
        </w:rPr>
        <w:t xml:space="preserve">dispose of anything left at workstations after the date of departure. </w:t>
      </w:r>
    </w:p>
    <w:p w14:paraId="631EE87C" w14:textId="77777777" w:rsidR="00CC22CE" w:rsidRDefault="00CC22CE" w:rsidP="3D7BF7A6">
      <w:pPr>
        <w:spacing w:after="0"/>
        <w:rPr>
          <w:color w:val="FF0000"/>
          <w:sz w:val="20"/>
          <w:szCs w:val="20"/>
        </w:rPr>
      </w:pPr>
    </w:p>
    <w:p w14:paraId="59949B36" w14:textId="561CDAF4" w:rsidR="00CC22CE" w:rsidRPr="000B7163" w:rsidRDefault="000B7163" w:rsidP="3D7BF7A6">
      <w:pPr>
        <w:spacing w:after="0"/>
        <w:rPr>
          <w:sz w:val="20"/>
          <w:szCs w:val="20"/>
        </w:rPr>
      </w:pPr>
      <w:r>
        <w:rPr>
          <w:sz w:val="20"/>
          <w:szCs w:val="20"/>
        </w:rPr>
        <w:t xml:space="preserve">Breach of this policy may result in disciplinary action. EEE reserves the right to remove card and key access to the department facilities until breaches of policy are fully investigated. Loss of any keys will result in loss of the cash deposit. </w:t>
      </w:r>
    </w:p>
    <w:tbl>
      <w:tblPr>
        <w:tblStyle w:val="TableGrid"/>
        <w:tblpPr w:leftFromText="180" w:rightFromText="180" w:vertAnchor="text" w:horzAnchor="margin" w:tblpY="242"/>
        <w:tblW w:w="10736" w:type="dxa"/>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2684"/>
        <w:gridCol w:w="2684"/>
        <w:gridCol w:w="2684"/>
        <w:gridCol w:w="2684"/>
      </w:tblGrid>
      <w:tr w:rsidR="008A1B4A" w:rsidRPr="005157B0" w14:paraId="5FAEAD75" w14:textId="77777777" w:rsidTr="008A1B4A">
        <w:trPr>
          <w:trHeight w:val="528"/>
        </w:trPr>
        <w:tc>
          <w:tcPr>
            <w:tcW w:w="10736" w:type="dxa"/>
            <w:gridSpan w:val="4"/>
          </w:tcPr>
          <w:p w14:paraId="5249437B" w14:textId="77777777" w:rsidR="008A1B4A" w:rsidRPr="005157B0" w:rsidRDefault="008A1B4A" w:rsidP="008A1B4A">
            <w:pPr>
              <w:rPr>
                <w:rFonts w:eastAsiaTheme="minorEastAsia"/>
                <w:sz w:val="20"/>
                <w:szCs w:val="20"/>
              </w:rPr>
            </w:pPr>
            <w:r w:rsidRPr="005157B0">
              <w:t>I confirm I have read and agree to the policy</w:t>
            </w:r>
            <w:r>
              <w:t xml:space="preserve"> as set out above</w:t>
            </w:r>
            <w:r w:rsidRPr="005157B0">
              <w:t xml:space="preserve">     </w:t>
            </w:r>
            <w:sdt>
              <w:sdtPr>
                <w:id w:val="-373613117"/>
                <w:placeholder>
                  <w:docPart w:val="3E034FADBB11402D84E360CB153F18A9"/>
                </w:placeholder>
                <w14:checkbox>
                  <w14:checked w14:val="0"/>
                  <w14:checkedState w14:val="2612" w14:font="MS Gothic"/>
                  <w14:uncheckedState w14:val="2610" w14:font="MS Gothic"/>
                </w14:checkbox>
              </w:sdtPr>
              <w:sdtContent>
                <w:r>
                  <w:rPr>
                    <w:rFonts w:ascii="MS Gothic" w:eastAsia="MS Gothic" w:hAnsi="MS Gothic"/>
                  </w:rPr>
                  <w:t>☐</w:t>
                </w:r>
              </w:sdtContent>
            </w:sdt>
          </w:p>
        </w:tc>
      </w:tr>
      <w:tr w:rsidR="008A1B4A" w:rsidRPr="005157B0" w14:paraId="23D8AAC0" w14:textId="77777777" w:rsidTr="008A1B4A">
        <w:trPr>
          <w:trHeight w:val="528"/>
        </w:trPr>
        <w:tc>
          <w:tcPr>
            <w:tcW w:w="10736" w:type="dxa"/>
            <w:gridSpan w:val="4"/>
          </w:tcPr>
          <w:p w14:paraId="4B41514C" w14:textId="77777777" w:rsidR="008A1B4A" w:rsidRPr="005157B0" w:rsidRDefault="008A1B4A" w:rsidP="008A1B4A">
            <w:pPr>
              <w:rPr>
                <w:rFonts w:eastAsiaTheme="minorEastAsia"/>
                <w:sz w:val="20"/>
                <w:szCs w:val="20"/>
              </w:rPr>
            </w:pPr>
            <w:r w:rsidRPr="005157B0">
              <w:t xml:space="preserve">I have paid a £20 deposit    </w:t>
            </w:r>
            <w:r>
              <w:t xml:space="preserve"> </w:t>
            </w:r>
            <w:sdt>
              <w:sdtPr>
                <w:id w:val="1759871376"/>
                <w:placeholder>
                  <w:docPart w:val="3E034FADBB11402D84E360CB153F18A9"/>
                </w:placeholder>
                <w14:checkbox>
                  <w14:checked w14:val="0"/>
                  <w14:checkedState w14:val="2612" w14:font="MS Gothic"/>
                  <w14:uncheckedState w14:val="2610" w14:font="MS Gothic"/>
                </w14:checkbox>
              </w:sdtPr>
              <w:sdtContent>
                <w:r>
                  <w:rPr>
                    <w:rFonts w:ascii="MS Gothic" w:eastAsia="MS Gothic" w:hAnsi="MS Gothic"/>
                  </w:rPr>
                  <w:t>☐</w:t>
                </w:r>
              </w:sdtContent>
            </w:sdt>
          </w:p>
        </w:tc>
      </w:tr>
      <w:tr w:rsidR="00F04394" w14:paraId="58E14118" w14:textId="77777777" w:rsidTr="002C00C2">
        <w:trPr>
          <w:trHeight w:val="528"/>
        </w:trPr>
        <w:tc>
          <w:tcPr>
            <w:tcW w:w="2684" w:type="dxa"/>
          </w:tcPr>
          <w:p w14:paraId="4A1B4EEE" w14:textId="50D9C1C3" w:rsidR="00F04394" w:rsidRDefault="00F04394" w:rsidP="008A1B4A">
            <w:pPr>
              <w:rPr>
                <w:rFonts w:eastAsiaTheme="minorEastAsia"/>
                <w:sz w:val="20"/>
                <w:szCs w:val="20"/>
              </w:rPr>
            </w:pPr>
            <w:r w:rsidRPr="3D7BF7A6">
              <w:rPr>
                <w:rFonts w:eastAsiaTheme="minorEastAsia"/>
                <w:sz w:val="20"/>
                <w:szCs w:val="20"/>
              </w:rPr>
              <w:t xml:space="preserve">Key </w:t>
            </w:r>
            <w:r>
              <w:rPr>
                <w:rFonts w:eastAsiaTheme="minorEastAsia"/>
                <w:sz w:val="20"/>
                <w:szCs w:val="20"/>
              </w:rPr>
              <w:t>Number</w:t>
            </w:r>
          </w:p>
        </w:tc>
        <w:tc>
          <w:tcPr>
            <w:tcW w:w="8052" w:type="dxa"/>
            <w:gridSpan w:val="3"/>
          </w:tcPr>
          <w:p w14:paraId="0B09912C" w14:textId="77777777" w:rsidR="00F04394" w:rsidRDefault="00F04394" w:rsidP="008A1B4A">
            <w:pPr>
              <w:rPr>
                <w:rFonts w:eastAsiaTheme="minorEastAsia"/>
                <w:sz w:val="20"/>
                <w:szCs w:val="20"/>
              </w:rPr>
            </w:pPr>
          </w:p>
          <w:p w14:paraId="375CBDD8" w14:textId="77777777" w:rsidR="00811EF6" w:rsidRDefault="00811EF6" w:rsidP="008A1B4A">
            <w:pPr>
              <w:rPr>
                <w:rFonts w:eastAsiaTheme="minorEastAsia"/>
                <w:sz w:val="20"/>
                <w:szCs w:val="20"/>
              </w:rPr>
            </w:pPr>
          </w:p>
          <w:p w14:paraId="1FB16D98" w14:textId="77777777" w:rsidR="00811EF6" w:rsidRDefault="00811EF6" w:rsidP="008A1B4A">
            <w:pPr>
              <w:rPr>
                <w:rFonts w:eastAsiaTheme="minorEastAsia"/>
                <w:sz w:val="20"/>
                <w:szCs w:val="20"/>
              </w:rPr>
            </w:pPr>
          </w:p>
          <w:p w14:paraId="7038CAF3" w14:textId="77777777" w:rsidR="00811EF6" w:rsidRDefault="00811EF6" w:rsidP="008A1B4A">
            <w:pPr>
              <w:rPr>
                <w:rFonts w:eastAsiaTheme="minorEastAsia"/>
                <w:sz w:val="20"/>
                <w:szCs w:val="20"/>
              </w:rPr>
            </w:pPr>
          </w:p>
          <w:p w14:paraId="62264D71" w14:textId="77777777" w:rsidR="00E7498B" w:rsidRDefault="00E7498B" w:rsidP="008A1B4A">
            <w:pPr>
              <w:rPr>
                <w:rFonts w:eastAsiaTheme="minorEastAsia"/>
                <w:sz w:val="20"/>
                <w:szCs w:val="20"/>
              </w:rPr>
            </w:pPr>
          </w:p>
          <w:p w14:paraId="2A7A15FA" w14:textId="77777777" w:rsidR="00E7498B" w:rsidRDefault="00E7498B" w:rsidP="008A1B4A">
            <w:pPr>
              <w:rPr>
                <w:rFonts w:eastAsiaTheme="minorEastAsia"/>
                <w:sz w:val="20"/>
                <w:szCs w:val="20"/>
              </w:rPr>
            </w:pPr>
          </w:p>
          <w:p w14:paraId="11FA5743" w14:textId="77777777" w:rsidR="00811EF6" w:rsidRDefault="00811EF6" w:rsidP="008A1B4A">
            <w:pPr>
              <w:rPr>
                <w:rFonts w:eastAsiaTheme="minorEastAsia"/>
                <w:sz w:val="20"/>
                <w:szCs w:val="20"/>
              </w:rPr>
            </w:pPr>
          </w:p>
          <w:p w14:paraId="2A8B4401" w14:textId="77777777" w:rsidR="00811EF6" w:rsidRDefault="00811EF6" w:rsidP="008A1B4A">
            <w:pPr>
              <w:rPr>
                <w:rFonts w:eastAsiaTheme="minorEastAsia"/>
                <w:sz w:val="20"/>
                <w:szCs w:val="20"/>
              </w:rPr>
            </w:pPr>
          </w:p>
          <w:p w14:paraId="512EE280" w14:textId="77777777" w:rsidR="00811EF6" w:rsidRDefault="00811EF6" w:rsidP="008A1B4A">
            <w:pPr>
              <w:rPr>
                <w:rFonts w:eastAsiaTheme="minorEastAsia"/>
                <w:sz w:val="20"/>
                <w:szCs w:val="20"/>
              </w:rPr>
            </w:pPr>
          </w:p>
          <w:p w14:paraId="3308AD93" w14:textId="77777777" w:rsidR="00811EF6" w:rsidRDefault="00811EF6" w:rsidP="008A1B4A">
            <w:pPr>
              <w:rPr>
                <w:rFonts w:eastAsiaTheme="minorEastAsia"/>
                <w:sz w:val="20"/>
                <w:szCs w:val="20"/>
              </w:rPr>
            </w:pPr>
          </w:p>
          <w:p w14:paraId="30BF0D8D" w14:textId="77777777" w:rsidR="00811EF6" w:rsidRDefault="00811EF6" w:rsidP="008A1B4A">
            <w:pPr>
              <w:rPr>
                <w:rFonts w:eastAsiaTheme="minorEastAsia"/>
                <w:sz w:val="20"/>
                <w:szCs w:val="20"/>
              </w:rPr>
            </w:pPr>
          </w:p>
          <w:p w14:paraId="041EBFB3" w14:textId="77777777" w:rsidR="00811EF6" w:rsidRDefault="00811EF6" w:rsidP="008A1B4A">
            <w:pPr>
              <w:rPr>
                <w:rFonts w:eastAsiaTheme="minorEastAsia"/>
                <w:sz w:val="20"/>
                <w:szCs w:val="20"/>
              </w:rPr>
            </w:pPr>
          </w:p>
          <w:p w14:paraId="7B2F190F" w14:textId="23F3E21D" w:rsidR="00811EF6" w:rsidRDefault="00811EF6" w:rsidP="008A1B4A">
            <w:pPr>
              <w:rPr>
                <w:rFonts w:eastAsiaTheme="minorEastAsia"/>
                <w:sz w:val="20"/>
                <w:szCs w:val="20"/>
              </w:rPr>
            </w:pPr>
          </w:p>
        </w:tc>
      </w:tr>
      <w:tr w:rsidR="008A1B4A" w:rsidRPr="005157B0" w14:paraId="4DA64FA3" w14:textId="77777777" w:rsidTr="008A1B4A">
        <w:trPr>
          <w:trHeight w:val="528"/>
        </w:trPr>
        <w:tc>
          <w:tcPr>
            <w:tcW w:w="2684" w:type="dxa"/>
          </w:tcPr>
          <w:p w14:paraId="548B1E3E" w14:textId="202DFC90" w:rsidR="008A1B4A" w:rsidRPr="005157B0" w:rsidRDefault="00DF508A" w:rsidP="008A1B4A">
            <w:pPr>
              <w:rPr>
                <w:rFonts w:eastAsiaTheme="minorEastAsia"/>
                <w:sz w:val="20"/>
                <w:szCs w:val="20"/>
              </w:rPr>
            </w:pPr>
            <w:r>
              <w:rPr>
                <w:rFonts w:eastAsiaTheme="minorEastAsia"/>
                <w:sz w:val="20"/>
                <w:szCs w:val="20"/>
              </w:rPr>
              <w:t>Key Issue Signature</w:t>
            </w:r>
          </w:p>
        </w:tc>
        <w:tc>
          <w:tcPr>
            <w:tcW w:w="2684" w:type="dxa"/>
          </w:tcPr>
          <w:p w14:paraId="06C727C5" w14:textId="77777777" w:rsidR="008A1B4A" w:rsidRDefault="008A1B4A" w:rsidP="008A1B4A">
            <w:pPr>
              <w:rPr>
                <w:rFonts w:eastAsiaTheme="minorEastAsia"/>
                <w:sz w:val="20"/>
                <w:szCs w:val="20"/>
              </w:rPr>
            </w:pPr>
          </w:p>
          <w:p w14:paraId="31AAB18D" w14:textId="77777777" w:rsidR="00CC22CE" w:rsidRDefault="00CC22CE" w:rsidP="008A1B4A">
            <w:pPr>
              <w:rPr>
                <w:rFonts w:eastAsiaTheme="minorEastAsia"/>
                <w:sz w:val="20"/>
                <w:szCs w:val="20"/>
              </w:rPr>
            </w:pPr>
          </w:p>
          <w:p w14:paraId="78141945" w14:textId="77777777" w:rsidR="00CC22CE" w:rsidRPr="005157B0" w:rsidRDefault="00CC22CE" w:rsidP="008A1B4A">
            <w:pPr>
              <w:rPr>
                <w:rFonts w:eastAsiaTheme="minorEastAsia"/>
                <w:sz w:val="20"/>
                <w:szCs w:val="20"/>
              </w:rPr>
            </w:pPr>
          </w:p>
        </w:tc>
        <w:tc>
          <w:tcPr>
            <w:tcW w:w="2684" w:type="dxa"/>
          </w:tcPr>
          <w:p w14:paraId="361A69B9" w14:textId="77777777" w:rsidR="008A1B4A" w:rsidRPr="005157B0" w:rsidRDefault="008A1B4A" w:rsidP="008A1B4A">
            <w:pPr>
              <w:rPr>
                <w:rFonts w:eastAsiaTheme="minorEastAsia"/>
                <w:sz w:val="20"/>
                <w:szCs w:val="20"/>
              </w:rPr>
            </w:pPr>
            <w:r w:rsidRPr="3D7BF7A6">
              <w:rPr>
                <w:rFonts w:eastAsiaTheme="minorEastAsia"/>
                <w:sz w:val="20"/>
                <w:szCs w:val="20"/>
              </w:rPr>
              <w:t>Keyholder Signature</w:t>
            </w:r>
          </w:p>
        </w:tc>
        <w:tc>
          <w:tcPr>
            <w:tcW w:w="2684" w:type="dxa"/>
          </w:tcPr>
          <w:p w14:paraId="61E375CD" w14:textId="77777777" w:rsidR="008A1B4A" w:rsidRDefault="008A1B4A" w:rsidP="008A1B4A">
            <w:pPr>
              <w:rPr>
                <w:rFonts w:eastAsiaTheme="minorEastAsia"/>
                <w:sz w:val="20"/>
                <w:szCs w:val="20"/>
              </w:rPr>
            </w:pPr>
          </w:p>
          <w:p w14:paraId="61D7EC8D" w14:textId="77777777" w:rsidR="00CC22CE" w:rsidRDefault="00CC22CE" w:rsidP="008A1B4A">
            <w:pPr>
              <w:rPr>
                <w:rFonts w:eastAsiaTheme="minorEastAsia"/>
                <w:sz w:val="20"/>
                <w:szCs w:val="20"/>
              </w:rPr>
            </w:pPr>
          </w:p>
          <w:p w14:paraId="2E56A936" w14:textId="77777777" w:rsidR="00CC22CE" w:rsidRPr="005157B0" w:rsidRDefault="00CC22CE" w:rsidP="008A1B4A">
            <w:pPr>
              <w:rPr>
                <w:rFonts w:eastAsiaTheme="minorEastAsia"/>
                <w:sz w:val="20"/>
                <w:szCs w:val="20"/>
              </w:rPr>
            </w:pPr>
          </w:p>
        </w:tc>
      </w:tr>
    </w:tbl>
    <w:p w14:paraId="46EB8206" w14:textId="53E80422" w:rsidR="003247C8" w:rsidRDefault="003247C8" w:rsidP="008A1B4A">
      <w:pPr>
        <w:spacing w:after="0"/>
        <w:rPr>
          <w:color w:val="FF0000"/>
          <w:sz w:val="20"/>
          <w:szCs w:val="20"/>
        </w:rPr>
      </w:pPr>
    </w:p>
    <w:sectPr w:rsidR="003247C8" w:rsidSect="004043D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18B45" w14:textId="77777777" w:rsidR="00C037AD" w:rsidRDefault="00C037AD" w:rsidP="00887FBE">
      <w:pPr>
        <w:spacing w:after="0" w:line="240" w:lineRule="auto"/>
      </w:pPr>
      <w:r>
        <w:separator/>
      </w:r>
    </w:p>
  </w:endnote>
  <w:endnote w:type="continuationSeparator" w:id="0">
    <w:p w14:paraId="6066199F" w14:textId="77777777" w:rsidR="00C037AD" w:rsidRDefault="00C037AD" w:rsidP="0088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CC39" w14:textId="77777777" w:rsidR="00DF18FC" w:rsidRDefault="00DF1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859B" w14:textId="77777777" w:rsidR="00DF18FC" w:rsidRDefault="00DF1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7174" w14:textId="77777777" w:rsidR="00DF18FC" w:rsidRDefault="00DF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5C3A" w14:textId="77777777" w:rsidR="00C037AD" w:rsidRDefault="00C037AD" w:rsidP="00887FBE">
      <w:pPr>
        <w:spacing w:after="0" w:line="240" w:lineRule="auto"/>
      </w:pPr>
      <w:r>
        <w:separator/>
      </w:r>
    </w:p>
  </w:footnote>
  <w:footnote w:type="continuationSeparator" w:id="0">
    <w:p w14:paraId="4F0749E8" w14:textId="77777777" w:rsidR="00C037AD" w:rsidRDefault="00C037AD" w:rsidP="0088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92B7" w14:textId="77777777" w:rsidR="00DF18FC" w:rsidRDefault="00DF1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F7AD" w14:textId="4515E50C" w:rsidR="00DF18FC" w:rsidRDefault="00DF1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6B5E" w14:textId="77777777" w:rsidR="00DF18FC" w:rsidRDefault="00DF18F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4C46"/>
    <w:multiLevelType w:val="hybridMultilevel"/>
    <w:tmpl w:val="78282748"/>
    <w:lvl w:ilvl="0" w:tplc="86FAC50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B07C3"/>
    <w:multiLevelType w:val="hybridMultilevel"/>
    <w:tmpl w:val="6D3615FE"/>
    <w:lvl w:ilvl="0" w:tplc="0812DA96">
      <w:start w:val="1"/>
      <w:numFmt w:val="bullet"/>
      <w:lvlText w:val="-"/>
      <w:lvlJc w:val="left"/>
      <w:pPr>
        <w:ind w:left="720" w:hanging="360"/>
      </w:pPr>
      <w:rPr>
        <w:rFonts w:ascii="Calibri" w:hAnsi="Calibri" w:hint="default"/>
      </w:rPr>
    </w:lvl>
    <w:lvl w:ilvl="1" w:tplc="2D4ADEC8">
      <w:start w:val="1"/>
      <w:numFmt w:val="bullet"/>
      <w:lvlText w:val="o"/>
      <w:lvlJc w:val="left"/>
      <w:pPr>
        <w:ind w:left="1440" w:hanging="360"/>
      </w:pPr>
      <w:rPr>
        <w:rFonts w:ascii="Courier New" w:hAnsi="Courier New" w:hint="default"/>
      </w:rPr>
    </w:lvl>
    <w:lvl w:ilvl="2" w:tplc="58AA00D2">
      <w:start w:val="1"/>
      <w:numFmt w:val="bullet"/>
      <w:lvlText w:val=""/>
      <w:lvlJc w:val="left"/>
      <w:pPr>
        <w:ind w:left="2160" w:hanging="360"/>
      </w:pPr>
      <w:rPr>
        <w:rFonts w:ascii="Wingdings" w:hAnsi="Wingdings" w:hint="default"/>
      </w:rPr>
    </w:lvl>
    <w:lvl w:ilvl="3" w:tplc="B0DC9C7E">
      <w:start w:val="1"/>
      <w:numFmt w:val="bullet"/>
      <w:lvlText w:val=""/>
      <w:lvlJc w:val="left"/>
      <w:pPr>
        <w:ind w:left="2880" w:hanging="360"/>
      </w:pPr>
      <w:rPr>
        <w:rFonts w:ascii="Symbol" w:hAnsi="Symbol" w:hint="default"/>
      </w:rPr>
    </w:lvl>
    <w:lvl w:ilvl="4" w:tplc="0EEE0EFE">
      <w:start w:val="1"/>
      <w:numFmt w:val="bullet"/>
      <w:lvlText w:val="o"/>
      <w:lvlJc w:val="left"/>
      <w:pPr>
        <w:ind w:left="3600" w:hanging="360"/>
      </w:pPr>
      <w:rPr>
        <w:rFonts w:ascii="Courier New" w:hAnsi="Courier New" w:hint="default"/>
      </w:rPr>
    </w:lvl>
    <w:lvl w:ilvl="5" w:tplc="99D65334">
      <w:start w:val="1"/>
      <w:numFmt w:val="bullet"/>
      <w:lvlText w:val=""/>
      <w:lvlJc w:val="left"/>
      <w:pPr>
        <w:ind w:left="4320" w:hanging="360"/>
      </w:pPr>
      <w:rPr>
        <w:rFonts w:ascii="Wingdings" w:hAnsi="Wingdings" w:hint="default"/>
      </w:rPr>
    </w:lvl>
    <w:lvl w:ilvl="6" w:tplc="5B66D176">
      <w:start w:val="1"/>
      <w:numFmt w:val="bullet"/>
      <w:lvlText w:val=""/>
      <w:lvlJc w:val="left"/>
      <w:pPr>
        <w:ind w:left="5040" w:hanging="360"/>
      </w:pPr>
      <w:rPr>
        <w:rFonts w:ascii="Symbol" w:hAnsi="Symbol" w:hint="default"/>
      </w:rPr>
    </w:lvl>
    <w:lvl w:ilvl="7" w:tplc="18E69132">
      <w:start w:val="1"/>
      <w:numFmt w:val="bullet"/>
      <w:lvlText w:val="o"/>
      <w:lvlJc w:val="left"/>
      <w:pPr>
        <w:ind w:left="5760" w:hanging="360"/>
      </w:pPr>
      <w:rPr>
        <w:rFonts w:ascii="Courier New" w:hAnsi="Courier New" w:hint="default"/>
      </w:rPr>
    </w:lvl>
    <w:lvl w:ilvl="8" w:tplc="A9E89970">
      <w:start w:val="1"/>
      <w:numFmt w:val="bullet"/>
      <w:lvlText w:val=""/>
      <w:lvlJc w:val="left"/>
      <w:pPr>
        <w:ind w:left="6480" w:hanging="360"/>
      </w:pPr>
      <w:rPr>
        <w:rFonts w:ascii="Wingdings" w:hAnsi="Wingdings" w:hint="default"/>
      </w:rPr>
    </w:lvl>
  </w:abstractNum>
  <w:abstractNum w:abstractNumId="2" w15:restartNumberingAfterBreak="0">
    <w:nsid w:val="6E284775"/>
    <w:multiLevelType w:val="hybridMultilevel"/>
    <w:tmpl w:val="5F8023D8"/>
    <w:lvl w:ilvl="0" w:tplc="0E2ADD6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778398">
    <w:abstractNumId w:val="1"/>
  </w:num>
  <w:num w:numId="2" w16cid:durableId="1009327806">
    <w:abstractNumId w:val="2"/>
  </w:num>
  <w:num w:numId="3" w16cid:durableId="4022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86"/>
    <w:rsid w:val="000208F4"/>
    <w:rsid w:val="000B7163"/>
    <w:rsid w:val="000D1EFD"/>
    <w:rsid w:val="00142771"/>
    <w:rsid w:val="001658F7"/>
    <w:rsid w:val="00166F8D"/>
    <w:rsid w:val="001D766B"/>
    <w:rsid w:val="0021643B"/>
    <w:rsid w:val="002458F7"/>
    <w:rsid w:val="00305DAB"/>
    <w:rsid w:val="003247C8"/>
    <w:rsid w:val="00372906"/>
    <w:rsid w:val="004043DA"/>
    <w:rsid w:val="004C23A7"/>
    <w:rsid w:val="005157B0"/>
    <w:rsid w:val="00567449"/>
    <w:rsid w:val="00573686"/>
    <w:rsid w:val="0061779C"/>
    <w:rsid w:val="00672FA7"/>
    <w:rsid w:val="006C22D1"/>
    <w:rsid w:val="0070014D"/>
    <w:rsid w:val="00732B83"/>
    <w:rsid w:val="0076461D"/>
    <w:rsid w:val="00811EF6"/>
    <w:rsid w:val="008513B0"/>
    <w:rsid w:val="00887FBE"/>
    <w:rsid w:val="00896BDD"/>
    <w:rsid w:val="008A1B4A"/>
    <w:rsid w:val="008C0C19"/>
    <w:rsid w:val="008E4313"/>
    <w:rsid w:val="00922068"/>
    <w:rsid w:val="00932AD6"/>
    <w:rsid w:val="00994283"/>
    <w:rsid w:val="009E1D31"/>
    <w:rsid w:val="00A661EA"/>
    <w:rsid w:val="00A91BD8"/>
    <w:rsid w:val="00AD07CB"/>
    <w:rsid w:val="00B151E5"/>
    <w:rsid w:val="00B37079"/>
    <w:rsid w:val="00C00FE6"/>
    <w:rsid w:val="00C037AD"/>
    <w:rsid w:val="00CC22CE"/>
    <w:rsid w:val="00CF0334"/>
    <w:rsid w:val="00CF7B83"/>
    <w:rsid w:val="00DF18FC"/>
    <w:rsid w:val="00DF508A"/>
    <w:rsid w:val="00E42194"/>
    <w:rsid w:val="00E7498B"/>
    <w:rsid w:val="00F04394"/>
    <w:rsid w:val="0114C25A"/>
    <w:rsid w:val="036F73E2"/>
    <w:rsid w:val="047F5E3E"/>
    <w:rsid w:val="0721ADA6"/>
    <w:rsid w:val="08264AEC"/>
    <w:rsid w:val="097A6DC3"/>
    <w:rsid w:val="0BBAE937"/>
    <w:rsid w:val="0CB20E85"/>
    <w:rsid w:val="0D941FBF"/>
    <w:rsid w:val="13699AE9"/>
    <w:rsid w:val="15056B4A"/>
    <w:rsid w:val="16BF7142"/>
    <w:rsid w:val="193700B5"/>
    <w:rsid w:val="1C94661F"/>
    <w:rsid w:val="1D6ACBDB"/>
    <w:rsid w:val="24A1208C"/>
    <w:rsid w:val="26483E31"/>
    <w:rsid w:val="2EBA456F"/>
    <w:rsid w:val="2F9D0BF0"/>
    <w:rsid w:val="30D5071C"/>
    <w:rsid w:val="3495BF79"/>
    <w:rsid w:val="34B8CC6C"/>
    <w:rsid w:val="37658715"/>
    <w:rsid w:val="37B58583"/>
    <w:rsid w:val="3B67E43B"/>
    <w:rsid w:val="3C536A0D"/>
    <w:rsid w:val="3D41DF2D"/>
    <w:rsid w:val="3D78C081"/>
    <w:rsid w:val="3D7BF7A6"/>
    <w:rsid w:val="41592BFC"/>
    <w:rsid w:val="4324436F"/>
    <w:rsid w:val="45595B4D"/>
    <w:rsid w:val="46BCDADB"/>
    <w:rsid w:val="478F887B"/>
    <w:rsid w:val="4D0346EB"/>
    <w:rsid w:val="4EC7C05F"/>
    <w:rsid w:val="4F7CE244"/>
    <w:rsid w:val="502FF6D3"/>
    <w:rsid w:val="51FF6121"/>
    <w:rsid w:val="53D5B8B9"/>
    <w:rsid w:val="635E835C"/>
    <w:rsid w:val="63D0276E"/>
    <w:rsid w:val="6464C015"/>
    <w:rsid w:val="69688A2F"/>
    <w:rsid w:val="6AB9D52F"/>
    <w:rsid w:val="6C471E32"/>
    <w:rsid w:val="6F6B79CF"/>
    <w:rsid w:val="7021CB27"/>
    <w:rsid w:val="7706CCEA"/>
    <w:rsid w:val="77CAE64B"/>
    <w:rsid w:val="7959FA7A"/>
    <w:rsid w:val="7AAFBC25"/>
    <w:rsid w:val="7E9CF9FB"/>
    <w:rsid w:val="7F84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F6B9"/>
  <w15:chartTrackingRefBased/>
  <w15:docId w15:val="{523609A6-5B1D-4FE5-8196-4393358C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BE"/>
  </w:style>
  <w:style w:type="paragraph" w:styleId="Footer">
    <w:name w:val="footer"/>
    <w:basedOn w:val="Normal"/>
    <w:link w:val="FooterChar"/>
    <w:uiPriority w:val="99"/>
    <w:unhideWhenUsed/>
    <w:rsid w:val="00887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BE"/>
  </w:style>
  <w:style w:type="paragraph" w:styleId="ListParagraph">
    <w:name w:val="List Paragraph"/>
    <w:basedOn w:val="Normal"/>
    <w:uiPriority w:val="34"/>
    <w:qFormat/>
    <w:rsid w:val="000D1EFD"/>
    <w:pPr>
      <w:ind w:left="720"/>
      <w:contextualSpacing/>
    </w:pPr>
  </w:style>
  <w:style w:type="character" w:styleId="Hyperlink">
    <w:name w:val="Hyperlink"/>
    <w:basedOn w:val="DefaultParagraphFont"/>
    <w:uiPriority w:val="99"/>
    <w:unhideWhenUsed/>
    <w:rsid w:val="00C00FE6"/>
    <w:rPr>
      <w:color w:val="0563C1" w:themeColor="hyperlink"/>
      <w:u w:val="single"/>
    </w:rPr>
  </w:style>
  <w:style w:type="character" w:styleId="UnresolvedMention">
    <w:name w:val="Unresolved Mention"/>
    <w:basedOn w:val="DefaultParagraphFont"/>
    <w:uiPriority w:val="99"/>
    <w:semiHidden/>
    <w:unhideWhenUsed/>
    <w:rsid w:val="00C00FE6"/>
    <w:rPr>
      <w:color w:val="605E5C"/>
      <w:shd w:val="clear" w:color="auto" w:fill="E1DFDD"/>
    </w:rPr>
  </w:style>
  <w:style w:type="table" w:styleId="TableGrid">
    <w:name w:val="Table Grid"/>
    <w:basedOn w:val="TableNormal"/>
    <w:uiPriority w:val="39"/>
    <w:rsid w:val="0014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5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6023">
      <w:bodyDiv w:val="1"/>
      <w:marLeft w:val="0"/>
      <w:marRight w:val="0"/>
      <w:marTop w:val="0"/>
      <w:marBottom w:val="0"/>
      <w:divBdr>
        <w:top w:val="none" w:sz="0" w:space="0" w:color="auto"/>
        <w:left w:val="none" w:sz="0" w:space="0" w:color="auto"/>
        <w:bottom w:val="none" w:sz="0" w:space="0" w:color="auto"/>
        <w:right w:val="none" w:sz="0" w:space="0" w:color="auto"/>
      </w:divBdr>
    </w:div>
    <w:div w:id="11543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ects@ee.ac.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mailto:support@ee.ac.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eerh0\OneDrive%20-%20University%20College%20London\Documents\Custom%20Office%20Templates\UCL%20header%20E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034FADBB11402D84E360CB153F18A9"/>
        <w:category>
          <w:name w:val="General"/>
          <w:gallery w:val="placeholder"/>
        </w:category>
        <w:types>
          <w:type w:val="bbPlcHdr"/>
        </w:types>
        <w:behaviors>
          <w:behavior w:val="content"/>
        </w:behaviors>
        <w:guid w:val="{4B410805-5681-4F04-B7C8-72DCB9D00056}"/>
      </w:docPartPr>
      <w:docPartBody>
        <w:p w:rsidR="00677608" w:rsidRDefault="00677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0017"/>
    <w:rsid w:val="00117942"/>
    <w:rsid w:val="002D087E"/>
    <w:rsid w:val="005B0017"/>
    <w:rsid w:val="00672FA7"/>
    <w:rsid w:val="00677608"/>
    <w:rsid w:val="008513B0"/>
    <w:rsid w:val="00FC66B5"/>
    <w:rsid w:val="00FC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UCL header EEE template</Template>
  <TotalTime>74</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Harkishin</dc:creator>
  <cp:keywords/>
  <dc:description/>
  <cp:lastModifiedBy>Harkishin, Roshni</cp:lastModifiedBy>
  <cp:revision>29</cp:revision>
  <cp:lastPrinted>2024-09-24T11:51:00Z</cp:lastPrinted>
  <dcterms:created xsi:type="dcterms:W3CDTF">2022-08-25T13:12:00Z</dcterms:created>
  <dcterms:modified xsi:type="dcterms:W3CDTF">2024-09-30T13:12:00Z</dcterms:modified>
</cp:coreProperties>
</file>